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D39" w:rsidRPr="00BE5513" w:rsidRDefault="00FB2D39" w:rsidP="00BE5513">
      <w:pPr>
        <w:spacing w:line="240" w:lineRule="exact"/>
        <w:rPr>
          <w:rFonts w:ascii="微软雅黑" w:eastAsia="微软雅黑" w:hAnsi="微软雅黑" w:cs="宋体"/>
          <w:sz w:val="22"/>
          <w:szCs w:val="22"/>
        </w:rPr>
      </w:pPr>
    </w:p>
    <w:p w:rsidR="00FB2D39" w:rsidRPr="00BE5513" w:rsidRDefault="009324DF" w:rsidP="00BE5513">
      <w:pPr>
        <w:spacing w:line="600" w:lineRule="exact"/>
        <w:jc w:val="center"/>
        <w:rPr>
          <w:rFonts w:ascii="微软雅黑" w:eastAsia="微软雅黑" w:hAnsi="微软雅黑"/>
          <w:b/>
          <w:bCs/>
          <w:color w:val="7030A0"/>
          <w:sz w:val="40"/>
          <w:szCs w:val="40"/>
        </w:rPr>
      </w:pPr>
      <w:r w:rsidRPr="00BE5513">
        <w:rPr>
          <w:rFonts w:ascii="微软雅黑" w:eastAsia="微软雅黑" w:hAnsi="微软雅黑"/>
          <w:b/>
          <w:bCs/>
          <w:color w:val="7030A0"/>
          <w:sz w:val="40"/>
          <w:szCs w:val="40"/>
        </w:rPr>
        <w:t>最高人民法院</w:t>
      </w:r>
    </w:p>
    <w:p w:rsidR="00FB2D39" w:rsidRPr="00BE5513" w:rsidRDefault="009324DF" w:rsidP="00BE5513">
      <w:pPr>
        <w:spacing w:line="600" w:lineRule="exact"/>
        <w:jc w:val="center"/>
        <w:rPr>
          <w:rFonts w:ascii="微软雅黑" w:eastAsia="微软雅黑" w:hAnsi="微软雅黑"/>
          <w:b/>
          <w:bCs/>
          <w:color w:val="7030A0"/>
          <w:sz w:val="40"/>
          <w:szCs w:val="40"/>
        </w:rPr>
      </w:pPr>
      <w:r w:rsidRPr="00BE5513">
        <w:rPr>
          <w:rFonts w:ascii="微软雅黑" w:eastAsia="微软雅黑" w:hAnsi="微软雅黑"/>
          <w:b/>
          <w:bCs/>
          <w:color w:val="7030A0"/>
          <w:sz w:val="40"/>
          <w:szCs w:val="40"/>
        </w:rPr>
        <w:t>关于综合治理类司法建议工作若干问题的规定</w:t>
      </w:r>
    </w:p>
    <w:p w:rsidR="00FB2D39" w:rsidRDefault="00FB2D39" w:rsidP="00BE5513">
      <w:pPr>
        <w:spacing w:line="240" w:lineRule="exact"/>
        <w:rPr>
          <w:rFonts w:ascii="微软雅黑" w:eastAsia="微软雅黑" w:hAnsi="微软雅黑" w:cs="宋体"/>
          <w:sz w:val="22"/>
          <w:szCs w:val="22"/>
        </w:rPr>
      </w:pPr>
    </w:p>
    <w:p w:rsidR="00BE5513" w:rsidRDefault="00BE5513" w:rsidP="00BE5513">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023-11-16</w:t>
      </w:r>
    </w:p>
    <w:p w:rsidR="00BE5513" w:rsidRPr="00BE5513" w:rsidRDefault="00BE5513" w:rsidP="00BE5513">
      <w:pPr>
        <w:spacing w:line="240" w:lineRule="exact"/>
        <w:rPr>
          <w:rFonts w:ascii="微软雅黑" w:eastAsia="微软雅黑" w:hAnsi="微软雅黑" w:cs="宋体"/>
          <w:sz w:val="22"/>
          <w:szCs w:val="22"/>
        </w:rPr>
      </w:pPr>
    </w:p>
    <w:p w:rsidR="00FB2D39" w:rsidRPr="00BE5513" w:rsidRDefault="009324DF" w:rsidP="00BE5513">
      <w:pPr>
        <w:spacing w:line="240" w:lineRule="exact"/>
        <w:jc w:val="center"/>
        <w:rPr>
          <w:rFonts w:ascii="微软雅黑" w:eastAsia="微软雅黑" w:hAnsi="微软雅黑" w:cs="仿宋_GB2312"/>
          <w:sz w:val="22"/>
          <w:szCs w:val="22"/>
        </w:rPr>
      </w:pPr>
      <w:r w:rsidRPr="00BE5513">
        <w:rPr>
          <w:rFonts w:ascii="微软雅黑" w:eastAsia="微软雅黑" w:hAnsi="微软雅黑" w:cs="仿宋_GB2312" w:hint="eastAsia"/>
          <w:sz w:val="22"/>
          <w:szCs w:val="22"/>
        </w:rPr>
        <w:t>法释</w:t>
      </w:r>
      <w:r w:rsidRPr="00BE5513">
        <w:rPr>
          <w:rFonts w:ascii="微软雅黑" w:eastAsia="微软雅黑" w:hAnsi="微软雅黑" w:cs="仿宋_GB2312"/>
          <w:sz w:val="22"/>
          <w:szCs w:val="22"/>
        </w:rPr>
        <w:t>〔</w:t>
      </w:r>
      <w:r w:rsidRPr="00BE5513">
        <w:rPr>
          <w:rFonts w:ascii="微软雅黑" w:eastAsia="微软雅黑" w:hAnsi="微软雅黑"/>
          <w:sz w:val="22"/>
          <w:szCs w:val="22"/>
        </w:rPr>
        <w:t>2023</w:t>
      </w:r>
      <w:r w:rsidRPr="00BE5513">
        <w:rPr>
          <w:rFonts w:ascii="微软雅黑" w:eastAsia="微软雅黑" w:hAnsi="微软雅黑" w:cs="仿宋_GB2312"/>
          <w:sz w:val="22"/>
          <w:szCs w:val="22"/>
        </w:rPr>
        <w:t>〕</w:t>
      </w:r>
      <w:r w:rsidRPr="00BE5513">
        <w:rPr>
          <w:rFonts w:ascii="微软雅黑" w:eastAsia="微软雅黑" w:hAnsi="微软雅黑"/>
          <w:sz w:val="22"/>
          <w:szCs w:val="22"/>
        </w:rPr>
        <w:t>11</w:t>
      </w:r>
      <w:r w:rsidRPr="00BE5513">
        <w:rPr>
          <w:rFonts w:ascii="微软雅黑" w:eastAsia="微软雅黑" w:hAnsi="微软雅黑" w:cs="仿宋_GB2312" w:hint="eastAsia"/>
          <w:sz w:val="22"/>
          <w:szCs w:val="22"/>
        </w:rPr>
        <w:t>号</w:t>
      </w:r>
    </w:p>
    <w:p w:rsidR="00FB2D39" w:rsidRPr="00BE5513" w:rsidRDefault="00FB2D39" w:rsidP="00BE5513">
      <w:pPr>
        <w:spacing w:line="240" w:lineRule="exact"/>
        <w:rPr>
          <w:rFonts w:ascii="微软雅黑" w:eastAsia="微软雅黑" w:hAnsi="微软雅黑" w:cs="宋体"/>
          <w:sz w:val="22"/>
          <w:szCs w:val="22"/>
        </w:rPr>
      </w:pPr>
    </w:p>
    <w:p w:rsidR="00FB2D39" w:rsidRPr="00BE5513" w:rsidRDefault="009324DF" w:rsidP="00BE5513">
      <w:pPr>
        <w:spacing w:line="240" w:lineRule="exact"/>
        <w:ind w:leftChars="200" w:left="632" w:rightChars="200" w:right="632" w:firstLineChars="200" w:firstLine="392"/>
        <w:jc w:val="center"/>
        <w:rPr>
          <w:rFonts w:ascii="微软雅黑" w:eastAsia="微软雅黑" w:hAnsi="微软雅黑"/>
          <w:sz w:val="20"/>
          <w:szCs w:val="20"/>
        </w:rPr>
      </w:pPr>
      <w:r w:rsidRPr="00BE5513">
        <w:rPr>
          <w:rFonts w:ascii="微软雅黑" w:eastAsia="微软雅黑" w:hAnsi="微软雅黑"/>
          <w:sz w:val="20"/>
          <w:szCs w:val="20"/>
        </w:rPr>
        <w:t>（2023年10月19日由最高人民法院审判委员会第1902次会议通过，自2023年11月16日起施行）</w:t>
      </w:r>
    </w:p>
    <w:p w:rsidR="00FB2D39" w:rsidRPr="00BE5513" w:rsidRDefault="00FB2D39" w:rsidP="00A72021">
      <w:pPr>
        <w:spacing w:line="320" w:lineRule="exact"/>
        <w:rPr>
          <w:rFonts w:ascii="微软雅黑" w:eastAsia="微软雅黑" w:hAnsi="微软雅黑" w:cs="宋体"/>
          <w:sz w:val="22"/>
          <w:szCs w:val="22"/>
        </w:rPr>
      </w:pP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sz w:val="24"/>
        </w:rPr>
        <w:t>为进一步加强和规范综合治理类司法建议工作，更好发挥审判机关在国家和社会治理中的重要作用，根据《中华人民共和国人民法院组织法》等法律规定，结合人民法院工作实际，制定本规定。</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第一条</w:t>
      </w:r>
      <w:r w:rsidRPr="00A72021">
        <w:rPr>
          <w:rFonts w:ascii="微软雅黑" w:eastAsia="微软雅黑" w:hAnsi="微软雅黑"/>
          <w:sz w:val="24"/>
        </w:rPr>
        <w:t xml:space="preserve">　人民法院在履行审判执行职责时发现社会治理领域中存在引起矛盾纠纷多发高发，影响经济社会发展和人民群众权益保护的突出问题，需要向有关主管机关或者其他有关单位提出改进工作、完善治理的司法建议的，适用本规定。</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第二条</w:t>
      </w:r>
      <w:r w:rsidRPr="00A72021">
        <w:rPr>
          <w:rFonts w:ascii="微软雅黑" w:eastAsia="微软雅黑" w:hAnsi="微软雅黑"/>
          <w:sz w:val="24"/>
        </w:rPr>
        <w:t xml:space="preserve">　人民法院提出司法建议，应当遵循确有必要的原则，确保司法建议的针对性、规范性和实效性。</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第三条</w:t>
      </w:r>
      <w:r w:rsidRPr="00A72021">
        <w:rPr>
          <w:rFonts w:ascii="微软雅黑" w:eastAsia="微软雅黑" w:hAnsi="微软雅黑"/>
          <w:sz w:val="24"/>
        </w:rPr>
        <w:t xml:space="preserve">　人民法院提出司法建议时，应当根据综合治理问题涉及的行业、领域等向相应的主管机关或者其他有关单位提出；向主管机关提出的，一般应当向本院辖区范围内的同级主管机关提出。发现的综合治理问题需要异地主管机关采取措施的，可以提出工作建议，层报相应的上级人民法院决定。</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第四条</w:t>
      </w:r>
      <w:r w:rsidRPr="00A72021">
        <w:rPr>
          <w:rFonts w:ascii="微软雅黑" w:eastAsia="微软雅黑" w:hAnsi="微软雅黑"/>
          <w:sz w:val="24"/>
        </w:rPr>
        <w:t xml:space="preserve">　司法建议应当以人民法院名义提出。</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第五条</w:t>
      </w:r>
      <w:r w:rsidRPr="00A72021">
        <w:rPr>
          <w:rFonts w:ascii="微软雅黑" w:eastAsia="微软雅黑" w:hAnsi="微软雅黑"/>
          <w:sz w:val="24"/>
        </w:rPr>
        <w:t xml:space="preserve">　人民法院提出司法建议前，应当结合审判执行工作中发现的问题充分调查研究，并积极与被建议单位沟通，听取其意见。</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第六条</w:t>
      </w:r>
      <w:r w:rsidRPr="00A72021">
        <w:rPr>
          <w:rFonts w:ascii="微软雅黑" w:eastAsia="微软雅黑" w:hAnsi="微软雅黑"/>
          <w:sz w:val="24"/>
        </w:rPr>
        <w:t xml:space="preserve">　人民法院提出司法建议，应当制作司法建议书。</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sz w:val="24"/>
        </w:rPr>
        <w:t>司法建议书实行统一编号。</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第七条</w:t>
      </w:r>
      <w:r w:rsidRPr="00A72021">
        <w:rPr>
          <w:rFonts w:ascii="微软雅黑" w:eastAsia="微软雅黑" w:hAnsi="微软雅黑"/>
          <w:sz w:val="24"/>
        </w:rPr>
        <w:t xml:space="preserve">　司法建议书起草完成后，应当依照《中华人民共和国人民法院组织法》第三十七条第一款第四项的规定提请审判委员会审议。</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sz w:val="24"/>
        </w:rPr>
        <w:t>司法建议书审议通过后，由院长签发。</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第八条</w:t>
      </w:r>
      <w:r w:rsidRPr="00A72021">
        <w:rPr>
          <w:rFonts w:ascii="微软雅黑" w:eastAsia="微软雅黑" w:hAnsi="微软雅黑"/>
          <w:sz w:val="24"/>
        </w:rPr>
        <w:t xml:space="preserve">　人民法院提出司法建议时，应当告知被建议单位就建议采纳落实情况等予以书面答复。答复期限根据具体情况确定，一般不超过两个月；法律、司法解释另有规定的，依照其规定。</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sz w:val="24"/>
        </w:rPr>
        <w:t>人民法院应当结合审判执行工作支持、配合、督促被建议单位采取相应措施，协同抓好司法建议相关工作的落实。</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第九条</w:t>
      </w:r>
      <w:r w:rsidRPr="00A72021">
        <w:rPr>
          <w:rFonts w:ascii="微软雅黑" w:eastAsia="微软雅黑" w:hAnsi="微软雅黑"/>
          <w:sz w:val="24"/>
        </w:rPr>
        <w:t xml:space="preserve">　司法建议涉及的问题重大，需要引起高度重视的，人民法院可以将司法建议书抄送被建议单位的上级主管机关或者其他有关单位。</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第十条</w:t>
      </w:r>
      <w:r w:rsidRPr="00A72021">
        <w:rPr>
          <w:rFonts w:ascii="微软雅黑" w:eastAsia="微软雅黑" w:hAnsi="微软雅黑"/>
          <w:sz w:val="24"/>
        </w:rPr>
        <w:t xml:space="preserve">　各级人民法院应当确定司法建议工作日常管理机构，完善审核、指导、考核、激励等机制，并将司法建议工作质效纳入绩效考核。</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第十一条</w:t>
      </w:r>
      <w:r w:rsidRPr="00A72021">
        <w:rPr>
          <w:rFonts w:ascii="微软雅黑" w:eastAsia="微软雅黑" w:hAnsi="微软雅黑"/>
          <w:sz w:val="24"/>
        </w:rPr>
        <w:t xml:space="preserve">　各级人民法院应当依照《中华人民共和国人民法院组织法》第九条的规定，将司法建议工作情况列入向同级人民代表大会及其常务委员会报告的事项。</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第十二条</w:t>
      </w:r>
      <w:r w:rsidRPr="00A72021">
        <w:rPr>
          <w:rFonts w:ascii="微软雅黑" w:eastAsia="微软雅黑" w:hAnsi="微软雅黑"/>
          <w:sz w:val="24"/>
        </w:rPr>
        <w:t xml:space="preserve">　人民法院提出综合治理类司法建议以外的其他司法建议的，依照有关法律、司法解释、其他规范性文件的规定办理。有关法律、司法解释、其他规范性文件没有规定的事项，可以根据本辖区的具体情况和实际需要，参照本规定办理。</w:t>
      </w:r>
    </w:p>
    <w:p w:rsidR="00FB2D39" w:rsidRPr="00A72021" w:rsidRDefault="009324DF" w:rsidP="00A72021">
      <w:pPr>
        <w:spacing w:line="320" w:lineRule="exact"/>
        <w:ind w:firstLineChars="200" w:firstLine="472"/>
        <w:rPr>
          <w:rFonts w:ascii="微软雅黑" w:eastAsia="微软雅黑" w:hAnsi="微软雅黑"/>
          <w:sz w:val="24"/>
        </w:rPr>
      </w:pPr>
      <w:r w:rsidRPr="00A72021">
        <w:rPr>
          <w:rFonts w:ascii="微软雅黑" w:eastAsia="微软雅黑" w:hAnsi="微软雅黑"/>
          <w:b/>
          <w:bCs/>
          <w:sz w:val="24"/>
        </w:rPr>
        <w:t>第十三条</w:t>
      </w:r>
      <w:r w:rsidRPr="00A72021">
        <w:rPr>
          <w:rFonts w:ascii="微软雅黑" w:eastAsia="微软雅黑" w:hAnsi="微软雅黑"/>
          <w:sz w:val="24"/>
        </w:rPr>
        <w:t xml:space="preserve">　本规定自2023年11月16日起施行。最高人民法院此前发布的司法解释和其他规范性文件与本规定不一致的，以本规定为准。</w:t>
      </w:r>
    </w:p>
    <w:p w:rsidR="00FB2D39" w:rsidRPr="00BE5513" w:rsidRDefault="00FB2D39" w:rsidP="00A72021">
      <w:pPr>
        <w:spacing w:line="320" w:lineRule="exact"/>
        <w:ind w:firstLine="640"/>
        <w:rPr>
          <w:rFonts w:ascii="微软雅黑" w:eastAsia="微软雅黑" w:hAnsi="微软雅黑" w:cs="宋体"/>
          <w:sz w:val="22"/>
          <w:szCs w:val="22"/>
        </w:rPr>
      </w:pPr>
    </w:p>
    <w:p w:rsidR="00FB2D39" w:rsidRPr="00BE5513" w:rsidRDefault="009324DF" w:rsidP="00A72021">
      <w:pPr>
        <w:spacing w:line="320" w:lineRule="exact"/>
        <w:ind w:firstLine="640"/>
        <w:rPr>
          <w:rFonts w:ascii="微软雅黑" w:eastAsia="微软雅黑" w:hAnsi="微软雅黑"/>
          <w:sz w:val="22"/>
          <w:szCs w:val="22"/>
        </w:rPr>
      </w:pPr>
      <w:r w:rsidRPr="00BE5513">
        <w:rPr>
          <w:rFonts w:ascii="微软雅黑" w:eastAsia="微软雅黑" w:hAnsi="微软雅黑"/>
          <w:sz w:val="22"/>
          <w:szCs w:val="22"/>
        </w:rPr>
        <w:t>附件：1.人民法院司法建议书制作规范</w:t>
      </w:r>
    </w:p>
    <w:p w:rsidR="00FB2D39" w:rsidRPr="00BE5513" w:rsidRDefault="009324DF" w:rsidP="00A72021">
      <w:pPr>
        <w:spacing w:line="320" w:lineRule="exact"/>
        <w:ind w:firstLineChars="600" w:firstLine="1295"/>
        <w:rPr>
          <w:rFonts w:ascii="微软雅黑" w:eastAsia="微软雅黑" w:hAnsi="微软雅黑"/>
          <w:sz w:val="22"/>
          <w:szCs w:val="22"/>
        </w:rPr>
      </w:pPr>
      <w:r w:rsidRPr="00BE5513">
        <w:rPr>
          <w:rFonts w:ascii="微软雅黑" w:eastAsia="微软雅黑" w:hAnsi="微软雅黑"/>
          <w:sz w:val="22"/>
          <w:szCs w:val="22"/>
        </w:rPr>
        <w:t>2</w:t>
      </w:r>
      <w:r w:rsidRPr="00BE5513">
        <w:rPr>
          <w:rFonts w:ascii="微软雅黑" w:eastAsia="微软雅黑" w:hAnsi="微软雅黑" w:hint="eastAsia"/>
          <w:sz w:val="22"/>
          <w:szCs w:val="22"/>
        </w:rPr>
        <w:t>.</w:t>
      </w:r>
      <w:r w:rsidRPr="00BE5513">
        <w:rPr>
          <w:rFonts w:ascii="微软雅黑" w:eastAsia="微软雅黑" w:hAnsi="微软雅黑"/>
          <w:sz w:val="22"/>
          <w:szCs w:val="22"/>
        </w:rPr>
        <w:t>文书样式</w:t>
      </w:r>
    </w:p>
    <w:p w:rsidR="00FB2D39" w:rsidRDefault="009324DF" w:rsidP="00A72021">
      <w:pPr>
        <w:spacing w:line="320" w:lineRule="exact"/>
        <w:ind w:firstLineChars="600" w:firstLine="1295"/>
        <w:rPr>
          <w:rFonts w:ascii="微软雅黑" w:eastAsia="微软雅黑" w:hAnsi="微软雅黑"/>
          <w:sz w:val="22"/>
          <w:szCs w:val="22"/>
        </w:rPr>
      </w:pPr>
      <w:r w:rsidRPr="00BE5513">
        <w:rPr>
          <w:rFonts w:ascii="微软雅黑" w:eastAsia="微软雅黑" w:hAnsi="微软雅黑"/>
          <w:sz w:val="22"/>
          <w:szCs w:val="22"/>
        </w:rPr>
        <w:t>3</w:t>
      </w:r>
      <w:r w:rsidRPr="00BE5513">
        <w:rPr>
          <w:rFonts w:ascii="微软雅黑" w:eastAsia="微软雅黑" w:hAnsi="微软雅黑" w:hint="eastAsia"/>
          <w:sz w:val="22"/>
          <w:szCs w:val="22"/>
        </w:rPr>
        <w:t>.</w:t>
      </w:r>
      <w:r w:rsidRPr="00BE5513">
        <w:rPr>
          <w:rFonts w:ascii="微软雅黑" w:eastAsia="微软雅黑" w:hAnsi="微软雅黑"/>
          <w:sz w:val="22"/>
          <w:szCs w:val="22"/>
        </w:rPr>
        <w:t>封面样式</w:t>
      </w:r>
    </w:p>
    <w:p w:rsidR="00A72021" w:rsidRPr="00BE5513" w:rsidRDefault="00A72021" w:rsidP="00A72021">
      <w:pPr>
        <w:spacing w:line="320" w:lineRule="exact"/>
        <w:ind w:firstLineChars="600" w:firstLine="1295"/>
        <w:rPr>
          <w:rFonts w:ascii="微软雅黑" w:eastAsia="微软雅黑" w:hAnsi="微软雅黑" w:hint="eastAsia"/>
          <w:sz w:val="22"/>
          <w:szCs w:val="22"/>
        </w:rPr>
      </w:pPr>
    </w:p>
    <w:p w:rsidR="00FB2D39" w:rsidRPr="00BE5513" w:rsidRDefault="009324DF" w:rsidP="00BE5513">
      <w:pPr>
        <w:spacing w:line="240" w:lineRule="exact"/>
        <w:rPr>
          <w:rFonts w:ascii="微软雅黑" w:eastAsia="微软雅黑" w:hAnsi="微软雅黑" w:cs="黑体"/>
          <w:sz w:val="22"/>
          <w:szCs w:val="22"/>
        </w:rPr>
      </w:pPr>
      <w:r w:rsidRPr="00BE5513">
        <w:rPr>
          <w:rFonts w:ascii="微软雅黑" w:eastAsia="微软雅黑" w:hAnsi="微软雅黑" w:cs="黑体" w:hint="eastAsia"/>
          <w:sz w:val="22"/>
          <w:szCs w:val="22"/>
        </w:rPr>
        <w:lastRenderedPageBreak/>
        <w:t>附件</w:t>
      </w:r>
      <w:r w:rsidRPr="00BE5513">
        <w:rPr>
          <w:rFonts w:ascii="微软雅黑" w:eastAsia="微软雅黑" w:hAnsi="微软雅黑"/>
          <w:sz w:val="22"/>
          <w:szCs w:val="22"/>
        </w:rPr>
        <w:t>1</w:t>
      </w:r>
      <w:bookmarkStart w:id="0" w:name="_GoBack"/>
      <w:bookmarkEnd w:id="0"/>
    </w:p>
    <w:p w:rsidR="00FB2D39" w:rsidRPr="00BE5513" w:rsidRDefault="009324DF" w:rsidP="00A72021">
      <w:pPr>
        <w:spacing w:line="240" w:lineRule="exact"/>
        <w:jc w:val="center"/>
        <w:rPr>
          <w:rFonts w:ascii="微软雅黑" w:eastAsia="微软雅黑" w:hAnsi="微软雅黑" w:cs="宋体"/>
          <w:sz w:val="22"/>
          <w:szCs w:val="22"/>
        </w:rPr>
      </w:pPr>
      <w:r w:rsidRPr="00BE5513">
        <w:rPr>
          <w:rFonts w:ascii="微软雅黑" w:eastAsia="微软雅黑" w:hAnsi="微软雅黑" w:cs="宋体" w:hint="eastAsia"/>
          <w:sz w:val="22"/>
          <w:szCs w:val="22"/>
        </w:rPr>
        <w:t>人民法院司法建议书制作规范</w:t>
      </w:r>
    </w:p>
    <w:p w:rsidR="00FB2D39" w:rsidRPr="00BE5513" w:rsidRDefault="00FB2D39" w:rsidP="00BE5513">
      <w:pPr>
        <w:spacing w:line="240" w:lineRule="exact"/>
        <w:ind w:firstLine="640"/>
        <w:rPr>
          <w:rFonts w:ascii="微软雅黑" w:eastAsia="微软雅黑" w:hAnsi="微软雅黑" w:cs="宋体"/>
          <w:sz w:val="22"/>
          <w:szCs w:val="22"/>
        </w:rPr>
      </w:pP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为指导全国法院司法建议书的制作，确保司法建议文书格式统一、要素齐全、结构完整、繁简得当、逻辑严密、用语准确，提高文书质量，制定本规范。</w:t>
      </w:r>
    </w:p>
    <w:p w:rsidR="00FB2D39" w:rsidRPr="00BE5513" w:rsidRDefault="009324DF" w:rsidP="00BE5513">
      <w:pPr>
        <w:spacing w:line="240" w:lineRule="exact"/>
        <w:ind w:firstLineChars="200" w:firstLine="432"/>
        <w:rPr>
          <w:rFonts w:ascii="微软雅黑" w:eastAsia="微软雅黑" w:hAnsi="微软雅黑" w:cs="黑体"/>
          <w:sz w:val="22"/>
          <w:szCs w:val="22"/>
        </w:rPr>
      </w:pPr>
      <w:r w:rsidRPr="00BE5513">
        <w:rPr>
          <w:rFonts w:ascii="微软雅黑" w:eastAsia="微软雅黑" w:hAnsi="微软雅黑" w:cs="黑体" w:hint="eastAsia"/>
          <w:sz w:val="22"/>
          <w:szCs w:val="22"/>
        </w:rPr>
        <w:t>一、基本要素</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司法建议书由首部、主文、尾部三部分组成。</w:t>
      </w:r>
    </w:p>
    <w:p w:rsidR="00FB2D39" w:rsidRPr="00BE5513" w:rsidRDefault="009324DF" w:rsidP="00BE5513">
      <w:pPr>
        <w:spacing w:line="240" w:lineRule="exact"/>
        <w:ind w:firstLineChars="200" w:firstLine="432"/>
        <w:rPr>
          <w:rFonts w:ascii="微软雅黑" w:eastAsia="微软雅黑" w:hAnsi="微软雅黑" w:cs="黑体"/>
          <w:sz w:val="22"/>
          <w:szCs w:val="22"/>
        </w:rPr>
      </w:pPr>
      <w:r w:rsidRPr="00BE5513">
        <w:rPr>
          <w:rFonts w:ascii="微软雅黑" w:eastAsia="微软雅黑" w:hAnsi="微软雅黑" w:cs="黑体" w:hint="eastAsia"/>
          <w:sz w:val="22"/>
          <w:szCs w:val="22"/>
        </w:rPr>
        <w:t>二、首部</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首部包括标题、司法建议书编号、被建议单位名称。</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标题包括法院名称、事由和司法建议书。例如：</w:t>
      </w:r>
      <w:r w:rsidRPr="00BE5513">
        <w:rPr>
          <w:rFonts w:ascii="微软雅黑" w:eastAsia="微软雅黑" w:hAnsi="微软雅黑" w:hint="eastAsia"/>
          <w:sz w:val="22"/>
          <w:szCs w:val="22"/>
        </w:rPr>
        <w:t>“</w:t>
      </w:r>
      <w:r w:rsidRPr="00BE5513">
        <w:rPr>
          <w:rFonts w:ascii="微软雅黑" w:eastAsia="微软雅黑" w:hAnsi="微软雅黑"/>
          <w:sz w:val="22"/>
          <w:szCs w:val="22"/>
        </w:rPr>
        <w:t>××人民法院关于××的司法建议书</w:t>
      </w:r>
      <w:r w:rsidRPr="00BE5513">
        <w:rPr>
          <w:rFonts w:ascii="微软雅黑" w:eastAsia="微软雅黑" w:hAnsi="微软雅黑" w:hint="eastAsia"/>
          <w:sz w:val="22"/>
          <w:szCs w:val="22"/>
        </w:rPr>
        <w:t>”</w:t>
      </w:r>
      <w:r w:rsidRPr="00BE5513">
        <w:rPr>
          <w:rFonts w:ascii="微软雅黑" w:eastAsia="微软雅黑" w:hAnsi="微软雅黑"/>
          <w:sz w:val="22"/>
          <w:szCs w:val="22"/>
        </w:rPr>
        <w:t>。</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司法建议书实行统一编号。最高人民法院的司法建议书以</w:t>
      </w:r>
      <w:r w:rsidRPr="00BE5513">
        <w:rPr>
          <w:rFonts w:ascii="微软雅黑" w:eastAsia="微软雅黑" w:hAnsi="微软雅黑" w:hint="eastAsia"/>
          <w:sz w:val="22"/>
          <w:szCs w:val="22"/>
        </w:rPr>
        <w:t>“</w:t>
      </w:r>
      <w:r w:rsidRPr="00BE5513">
        <w:rPr>
          <w:rFonts w:ascii="微软雅黑" w:eastAsia="微软雅黑" w:hAnsi="微软雅黑"/>
          <w:sz w:val="22"/>
          <w:szCs w:val="22"/>
        </w:rPr>
        <w:t>法建</w:t>
      </w:r>
      <w:r w:rsidRPr="00BE5513">
        <w:rPr>
          <w:rFonts w:ascii="微软雅黑" w:eastAsia="微软雅黑" w:hAnsi="微软雅黑" w:hint="eastAsia"/>
          <w:sz w:val="22"/>
          <w:szCs w:val="22"/>
        </w:rPr>
        <w:t>”</w:t>
      </w:r>
      <w:r w:rsidRPr="00BE5513">
        <w:rPr>
          <w:rFonts w:ascii="微软雅黑" w:eastAsia="微软雅黑" w:hAnsi="微软雅黑"/>
          <w:sz w:val="22"/>
          <w:szCs w:val="22"/>
        </w:rPr>
        <w:t>+〔文书年度〕+文书编号+</w:t>
      </w:r>
      <w:r w:rsidRPr="00BE5513">
        <w:rPr>
          <w:rFonts w:ascii="微软雅黑" w:eastAsia="微软雅黑" w:hAnsi="微软雅黑" w:hint="eastAsia"/>
          <w:sz w:val="22"/>
          <w:szCs w:val="22"/>
        </w:rPr>
        <w:t>“</w:t>
      </w:r>
      <w:r w:rsidRPr="00BE5513">
        <w:rPr>
          <w:rFonts w:ascii="微软雅黑" w:eastAsia="微软雅黑" w:hAnsi="微软雅黑"/>
          <w:sz w:val="22"/>
          <w:szCs w:val="22"/>
        </w:rPr>
        <w:t>号</w:t>
      </w:r>
      <w:r w:rsidRPr="00BE5513">
        <w:rPr>
          <w:rFonts w:ascii="微软雅黑" w:eastAsia="微软雅黑" w:hAnsi="微软雅黑" w:hint="eastAsia"/>
          <w:sz w:val="22"/>
          <w:szCs w:val="22"/>
        </w:rPr>
        <w:t>”</w:t>
      </w:r>
      <w:r w:rsidRPr="00BE5513">
        <w:rPr>
          <w:rFonts w:ascii="微软雅黑" w:eastAsia="微软雅黑" w:hAnsi="微软雅黑"/>
          <w:sz w:val="22"/>
          <w:szCs w:val="22"/>
        </w:rPr>
        <w:t>形式编号，地方各级人民法院的司法建议书以地名简称+</w:t>
      </w:r>
      <w:r w:rsidRPr="00BE5513">
        <w:rPr>
          <w:rFonts w:ascii="微软雅黑" w:eastAsia="微软雅黑" w:hAnsi="微软雅黑" w:hint="eastAsia"/>
          <w:sz w:val="22"/>
          <w:szCs w:val="22"/>
        </w:rPr>
        <w:t>“</w:t>
      </w:r>
      <w:r w:rsidRPr="00BE5513">
        <w:rPr>
          <w:rFonts w:ascii="微软雅黑" w:eastAsia="微软雅黑" w:hAnsi="微软雅黑"/>
          <w:sz w:val="22"/>
          <w:szCs w:val="22"/>
        </w:rPr>
        <w:t>法建</w:t>
      </w:r>
      <w:r w:rsidRPr="00BE5513">
        <w:rPr>
          <w:rFonts w:ascii="微软雅黑" w:eastAsia="微软雅黑" w:hAnsi="微软雅黑" w:hint="eastAsia"/>
          <w:sz w:val="22"/>
          <w:szCs w:val="22"/>
        </w:rPr>
        <w:t>”</w:t>
      </w:r>
      <w:r w:rsidRPr="00BE5513">
        <w:rPr>
          <w:rFonts w:ascii="微软雅黑" w:eastAsia="微软雅黑" w:hAnsi="微软雅黑"/>
          <w:sz w:val="22"/>
          <w:szCs w:val="22"/>
        </w:rPr>
        <w:t>+〔文书年度〕+文书编号+</w:t>
      </w:r>
      <w:r w:rsidRPr="00BE5513">
        <w:rPr>
          <w:rFonts w:ascii="微软雅黑" w:eastAsia="微软雅黑" w:hAnsi="微软雅黑" w:hint="eastAsia"/>
          <w:sz w:val="22"/>
          <w:szCs w:val="22"/>
        </w:rPr>
        <w:t>“</w:t>
      </w:r>
      <w:r w:rsidRPr="00BE5513">
        <w:rPr>
          <w:rFonts w:ascii="微软雅黑" w:eastAsia="微软雅黑" w:hAnsi="微软雅黑"/>
          <w:sz w:val="22"/>
          <w:szCs w:val="22"/>
        </w:rPr>
        <w:t>号</w:t>
      </w:r>
      <w:r w:rsidRPr="00BE5513">
        <w:rPr>
          <w:rFonts w:ascii="微软雅黑" w:eastAsia="微软雅黑" w:hAnsi="微软雅黑" w:hint="eastAsia"/>
          <w:sz w:val="22"/>
          <w:szCs w:val="22"/>
        </w:rPr>
        <w:t>”</w:t>
      </w:r>
      <w:r w:rsidRPr="00BE5513">
        <w:rPr>
          <w:rFonts w:ascii="微软雅黑" w:eastAsia="微软雅黑" w:hAnsi="微软雅黑"/>
          <w:sz w:val="22"/>
          <w:szCs w:val="22"/>
        </w:rPr>
        <w:t>形式编号。</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被建议单位名称应使用该单位全称、规范化简称或者同类型单位统称。</w:t>
      </w:r>
    </w:p>
    <w:p w:rsidR="00FB2D39" w:rsidRPr="00BE5513" w:rsidRDefault="009324DF" w:rsidP="00BE5513">
      <w:pPr>
        <w:spacing w:line="240" w:lineRule="exact"/>
        <w:ind w:firstLineChars="200" w:firstLine="432"/>
        <w:rPr>
          <w:rFonts w:ascii="微软雅黑" w:eastAsia="微软雅黑" w:hAnsi="微软雅黑" w:cs="黑体"/>
          <w:sz w:val="22"/>
          <w:szCs w:val="22"/>
        </w:rPr>
      </w:pPr>
      <w:r w:rsidRPr="00BE5513">
        <w:rPr>
          <w:rFonts w:ascii="微软雅黑" w:eastAsia="微软雅黑" w:hAnsi="微软雅黑" w:cs="黑体" w:hint="eastAsia"/>
          <w:sz w:val="22"/>
          <w:szCs w:val="22"/>
        </w:rPr>
        <w:t>三、主文</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简要说明抓好相关领域工作的重要性和被建议单位在该领域已采取的主要举措及成效。然后列明在审判执行工作中发现的该领域需要重视和解决的问题，依据法律法规及政策提出的具体建议，反馈时限，以及其他需要说明的事项。建议与问题应当一一对应。</w:t>
      </w:r>
    </w:p>
    <w:p w:rsidR="00FB2D39" w:rsidRPr="00BE5513" w:rsidRDefault="009324DF" w:rsidP="00BE5513">
      <w:pPr>
        <w:spacing w:line="240" w:lineRule="exact"/>
        <w:ind w:firstLineChars="200" w:firstLine="432"/>
        <w:rPr>
          <w:rFonts w:ascii="微软雅黑" w:eastAsia="微软雅黑" w:hAnsi="微软雅黑" w:cs="黑体"/>
          <w:sz w:val="22"/>
          <w:szCs w:val="22"/>
        </w:rPr>
      </w:pPr>
      <w:r w:rsidRPr="00BE5513">
        <w:rPr>
          <w:rFonts w:ascii="微软雅黑" w:eastAsia="微软雅黑" w:hAnsi="微软雅黑" w:cs="黑体" w:hint="eastAsia"/>
          <w:sz w:val="22"/>
          <w:szCs w:val="22"/>
        </w:rPr>
        <w:t>四、尾部</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包括院印、法院名称和日期、联系人姓名和电话、附件和抄送单位名称。</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司法建议书如有附件，应当在正文之后、成文日期之前注明附件的顺序号和名称。</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抄送单位应当使用该机关全称、规范化简称或者同类型机关统称。</w:t>
      </w:r>
    </w:p>
    <w:p w:rsidR="00FB2D39" w:rsidRPr="00BE5513" w:rsidRDefault="009324DF" w:rsidP="00BE5513">
      <w:pPr>
        <w:spacing w:line="240" w:lineRule="exact"/>
        <w:ind w:firstLineChars="200" w:firstLine="432"/>
        <w:rPr>
          <w:rFonts w:ascii="微软雅黑" w:eastAsia="微软雅黑" w:hAnsi="微软雅黑" w:cs="黑体"/>
          <w:sz w:val="22"/>
          <w:szCs w:val="22"/>
        </w:rPr>
      </w:pPr>
      <w:r w:rsidRPr="00BE5513">
        <w:rPr>
          <w:rFonts w:ascii="微软雅黑" w:eastAsia="微软雅黑" w:hAnsi="微软雅黑" w:cs="黑体" w:hint="eastAsia"/>
          <w:sz w:val="22"/>
          <w:szCs w:val="22"/>
        </w:rPr>
        <w:t>五、封面</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1</w:t>
      </w:r>
      <w:r w:rsidRPr="00BE5513">
        <w:rPr>
          <w:rFonts w:ascii="微软雅黑" w:eastAsia="微软雅黑" w:hAnsi="微软雅黑" w:hint="eastAsia"/>
          <w:sz w:val="22"/>
          <w:szCs w:val="22"/>
        </w:rPr>
        <w:t>.</w:t>
      </w:r>
      <w:proofErr w:type="gramStart"/>
      <w:r w:rsidRPr="00BE5513">
        <w:rPr>
          <w:rFonts w:ascii="微软雅黑" w:eastAsia="微软雅黑" w:hAnsi="微软雅黑"/>
          <w:sz w:val="22"/>
          <w:szCs w:val="22"/>
        </w:rPr>
        <w:t>法徽图案</w:t>
      </w:r>
      <w:proofErr w:type="gramEnd"/>
      <w:r w:rsidRPr="00BE5513">
        <w:rPr>
          <w:rFonts w:ascii="微软雅黑" w:eastAsia="微软雅黑" w:hAnsi="微软雅黑"/>
          <w:sz w:val="22"/>
          <w:szCs w:val="22"/>
        </w:rPr>
        <w:t>高55mm，宽50mm。上页边距为60mm，</w:t>
      </w:r>
      <w:proofErr w:type="gramStart"/>
      <w:r w:rsidRPr="00BE5513">
        <w:rPr>
          <w:rFonts w:ascii="微软雅黑" w:eastAsia="微软雅黑" w:hAnsi="微软雅黑"/>
          <w:sz w:val="22"/>
          <w:szCs w:val="22"/>
        </w:rPr>
        <w:t>法徽下沿</w:t>
      </w:r>
      <w:proofErr w:type="gramEnd"/>
      <w:r w:rsidRPr="00BE5513">
        <w:rPr>
          <w:rFonts w:ascii="微软雅黑" w:eastAsia="微软雅黑" w:hAnsi="微软雅黑"/>
          <w:sz w:val="22"/>
          <w:szCs w:val="22"/>
        </w:rPr>
        <w:t>与标题文字上沿之间距离为40mm。</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2</w:t>
      </w:r>
      <w:r w:rsidRPr="00BE5513">
        <w:rPr>
          <w:rFonts w:ascii="微软雅黑" w:eastAsia="微软雅黑" w:hAnsi="微软雅黑" w:hint="eastAsia"/>
          <w:sz w:val="22"/>
          <w:szCs w:val="22"/>
        </w:rPr>
        <w:t>.</w:t>
      </w:r>
      <w:r w:rsidRPr="00BE5513">
        <w:rPr>
          <w:rFonts w:ascii="微软雅黑" w:eastAsia="微软雅黑" w:hAnsi="微软雅黑"/>
          <w:sz w:val="22"/>
          <w:szCs w:val="22"/>
        </w:rPr>
        <w:t>标题文字为</w:t>
      </w:r>
      <w:r w:rsidRPr="00BE5513">
        <w:rPr>
          <w:rFonts w:ascii="微软雅黑" w:eastAsia="微软雅黑" w:hAnsi="微软雅黑" w:hint="eastAsia"/>
          <w:sz w:val="22"/>
          <w:szCs w:val="22"/>
        </w:rPr>
        <w:t>“</w:t>
      </w:r>
      <w:r w:rsidRPr="00BE5513">
        <w:rPr>
          <w:rFonts w:ascii="微软雅黑" w:eastAsia="微软雅黑" w:hAnsi="微软雅黑"/>
          <w:sz w:val="22"/>
          <w:szCs w:val="22"/>
        </w:rPr>
        <w:t>××人民法院司法建议书</w:t>
      </w:r>
      <w:r w:rsidRPr="00BE5513">
        <w:rPr>
          <w:rFonts w:ascii="微软雅黑" w:eastAsia="微软雅黑" w:hAnsi="微软雅黑" w:hint="eastAsia"/>
          <w:sz w:val="22"/>
          <w:szCs w:val="22"/>
        </w:rPr>
        <w:t>”</w:t>
      </w:r>
      <w:r w:rsidRPr="00BE5513">
        <w:rPr>
          <w:rFonts w:ascii="微软雅黑" w:eastAsia="微软雅黑" w:hAnsi="微软雅黑"/>
          <w:sz w:val="22"/>
          <w:szCs w:val="22"/>
        </w:rPr>
        <w:t>，</w:t>
      </w:r>
      <w:proofErr w:type="gramStart"/>
      <w:r w:rsidRPr="00BE5513">
        <w:rPr>
          <w:rFonts w:ascii="微软雅黑" w:eastAsia="微软雅黑" w:hAnsi="微软雅黑"/>
          <w:sz w:val="22"/>
          <w:szCs w:val="22"/>
        </w:rPr>
        <w:t>位于法徽图案</w:t>
      </w:r>
      <w:proofErr w:type="gramEnd"/>
      <w:r w:rsidRPr="00BE5513">
        <w:rPr>
          <w:rFonts w:ascii="微软雅黑" w:eastAsia="微软雅黑" w:hAnsi="微软雅黑"/>
          <w:sz w:val="22"/>
          <w:szCs w:val="22"/>
        </w:rPr>
        <w:t>下方，字体为小标宋体字；标题分两行或三行排列，法院名称字体大小为30磅，司法建议书字体大小为36磅。</w:t>
      </w:r>
    </w:p>
    <w:p w:rsidR="00FB2D39"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3</w:t>
      </w:r>
      <w:r w:rsidRPr="00BE5513">
        <w:rPr>
          <w:rFonts w:ascii="微软雅黑" w:eastAsia="微软雅黑" w:hAnsi="微软雅黑" w:hint="eastAsia"/>
          <w:sz w:val="22"/>
          <w:szCs w:val="22"/>
        </w:rPr>
        <w:t>.</w:t>
      </w:r>
      <w:r w:rsidRPr="00BE5513">
        <w:rPr>
          <w:rFonts w:ascii="微软雅黑" w:eastAsia="微软雅黑" w:hAnsi="微软雅黑"/>
          <w:sz w:val="22"/>
          <w:szCs w:val="22"/>
        </w:rPr>
        <w:t>封面应庄重、美观，页边距、字体大小及行距可适当进行调整。</w:t>
      </w:r>
    </w:p>
    <w:p w:rsidR="00A72021" w:rsidRPr="00BE5513" w:rsidRDefault="00A72021" w:rsidP="00BE5513">
      <w:pPr>
        <w:spacing w:line="240" w:lineRule="exact"/>
        <w:ind w:firstLineChars="200" w:firstLine="432"/>
        <w:rPr>
          <w:rFonts w:ascii="微软雅黑" w:eastAsia="微软雅黑" w:hAnsi="微软雅黑" w:hint="eastAsia"/>
          <w:sz w:val="22"/>
          <w:szCs w:val="22"/>
        </w:rPr>
      </w:pPr>
    </w:p>
    <w:p w:rsidR="00FB2D39" w:rsidRPr="00BE5513" w:rsidRDefault="009324DF" w:rsidP="00BE5513">
      <w:pPr>
        <w:spacing w:line="240" w:lineRule="exact"/>
        <w:rPr>
          <w:rFonts w:ascii="微软雅黑" w:eastAsia="微软雅黑" w:hAnsi="微软雅黑" w:cs="黑体"/>
          <w:sz w:val="22"/>
          <w:szCs w:val="22"/>
        </w:rPr>
      </w:pPr>
      <w:r w:rsidRPr="00BE5513">
        <w:rPr>
          <w:rFonts w:ascii="微软雅黑" w:eastAsia="微软雅黑" w:hAnsi="微软雅黑" w:cs="黑体" w:hint="eastAsia"/>
          <w:sz w:val="22"/>
          <w:szCs w:val="22"/>
        </w:rPr>
        <w:t>附件</w:t>
      </w:r>
      <w:r w:rsidRPr="00BE5513">
        <w:rPr>
          <w:rFonts w:ascii="微软雅黑" w:eastAsia="微软雅黑" w:hAnsi="微软雅黑"/>
          <w:sz w:val="22"/>
          <w:szCs w:val="22"/>
        </w:rPr>
        <w:t>2</w:t>
      </w:r>
    </w:p>
    <w:p w:rsidR="00FB2D39" w:rsidRPr="00BE5513" w:rsidRDefault="009324DF" w:rsidP="00BE5513">
      <w:pPr>
        <w:spacing w:line="240" w:lineRule="exact"/>
        <w:rPr>
          <w:rFonts w:ascii="微软雅黑" w:eastAsia="微软雅黑" w:hAnsi="微软雅黑" w:cs="黑体"/>
          <w:sz w:val="22"/>
          <w:szCs w:val="22"/>
        </w:rPr>
      </w:pPr>
      <w:r w:rsidRPr="00BE5513">
        <w:rPr>
          <w:rFonts w:ascii="微软雅黑" w:eastAsia="微软雅黑" w:hAnsi="微软雅黑" w:cs="黑体" w:hint="eastAsia"/>
          <w:sz w:val="22"/>
          <w:szCs w:val="22"/>
        </w:rPr>
        <w:t>文书样式</w:t>
      </w:r>
    </w:p>
    <w:p w:rsidR="00FB2D39" w:rsidRPr="00BE5513" w:rsidRDefault="009324DF" w:rsidP="00A72021">
      <w:pPr>
        <w:spacing w:line="240" w:lineRule="exact"/>
        <w:jc w:val="center"/>
        <w:rPr>
          <w:rFonts w:ascii="微软雅黑" w:eastAsia="微软雅黑" w:hAnsi="微软雅黑" w:cs="宋体"/>
          <w:sz w:val="22"/>
          <w:szCs w:val="22"/>
        </w:rPr>
      </w:pPr>
      <w:r w:rsidRPr="00BE5513">
        <w:rPr>
          <w:rFonts w:ascii="微软雅黑" w:eastAsia="微软雅黑" w:hAnsi="微软雅黑" w:cs="宋体" w:hint="eastAsia"/>
          <w:sz w:val="22"/>
          <w:szCs w:val="22"/>
        </w:rPr>
        <w:t>××人民法院关于×××的司法建议书</w:t>
      </w:r>
    </w:p>
    <w:p w:rsidR="00FB2D39" w:rsidRPr="00BE5513" w:rsidRDefault="009324DF" w:rsidP="00BE5513">
      <w:pPr>
        <w:spacing w:line="240" w:lineRule="exact"/>
        <w:ind w:firstLineChars="200" w:firstLine="432"/>
        <w:jc w:val="right"/>
        <w:rPr>
          <w:rFonts w:ascii="微软雅黑" w:eastAsia="微软雅黑" w:hAnsi="微软雅黑"/>
          <w:sz w:val="22"/>
          <w:szCs w:val="22"/>
        </w:rPr>
      </w:pPr>
      <w:r w:rsidRPr="00BE5513">
        <w:rPr>
          <w:rFonts w:ascii="微软雅黑" w:eastAsia="微软雅黑" w:hAnsi="微软雅黑"/>
          <w:sz w:val="22"/>
          <w:szCs w:val="22"/>
        </w:rPr>
        <w:t>××法建〔××××〕×号</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××××（被建议单位名称）：</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…………（写明抓好相关领域工作的重要性，被建议单位已采取的主要举措及成效）。</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我院在审判（执行）工作（或写明××个案，或写明案件类型，或写明司法调研工作）中，发现……</w:t>
      </w:r>
      <w:proofErr w:type="gramStart"/>
      <w:r w:rsidRPr="00BE5513">
        <w:rPr>
          <w:rFonts w:ascii="微软雅黑" w:eastAsia="微软雅黑" w:hAnsi="微软雅黑"/>
          <w:sz w:val="22"/>
          <w:szCs w:val="22"/>
        </w:rPr>
        <w:t>……</w:t>
      </w:r>
      <w:proofErr w:type="gramEnd"/>
      <w:r w:rsidRPr="00BE5513">
        <w:rPr>
          <w:rFonts w:ascii="微软雅黑" w:eastAsia="微软雅黑" w:hAnsi="微软雅黑"/>
          <w:sz w:val="22"/>
          <w:szCs w:val="22"/>
        </w:rPr>
        <w:t>（</w:t>
      </w:r>
      <w:proofErr w:type="gramStart"/>
      <w:r w:rsidRPr="00BE5513">
        <w:rPr>
          <w:rFonts w:ascii="微软雅黑" w:eastAsia="微软雅黑" w:hAnsi="微软雅黑"/>
          <w:sz w:val="22"/>
          <w:szCs w:val="22"/>
        </w:rPr>
        <w:t>围绕诉源治理</w:t>
      </w:r>
      <w:proofErr w:type="gramEnd"/>
      <w:r w:rsidRPr="00BE5513">
        <w:rPr>
          <w:rFonts w:ascii="微软雅黑" w:eastAsia="微软雅黑" w:hAnsi="微软雅黑"/>
          <w:sz w:val="22"/>
          <w:szCs w:val="22"/>
        </w:rPr>
        <w:t>、社会治理写明有关主管机关或者其他单位存在的重要问题，内容多的可分项书写）。为此，特建议：</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…………（写明建议的具体事项，建议应当与问题一一对应，内容多的可分项书写）。</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请你单位在收到本建议书后及时研究，采取有力措施推进××问题治理，并在×</w:t>
      </w:r>
      <w:proofErr w:type="gramStart"/>
      <w:r w:rsidRPr="00BE5513">
        <w:rPr>
          <w:rFonts w:ascii="微软雅黑" w:eastAsia="微软雅黑" w:hAnsi="微软雅黑"/>
          <w:sz w:val="22"/>
          <w:szCs w:val="22"/>
        </w:rPr>
        <w:t>个</w:t>
      </w:r>
      <w:proofErr w:type="gramEnd"/>
      <w:r w:rsidRPr="00BE5513">
        <w:rPr>
          <w:rFonts w:ascii="微软雅黑" w:eastAsia="微软雅黑" w:hAnsi="微软雅黑"/>
          <w:sz w:val="22"/>
          <w:szCs w:val="22"/>
        </w:rPr>
        <w:t>月内向我院书面反馈工作进展情况。（已纳入考核的地区可写明：反馈、落实情况将纳入当地依法治理或平安建设等考核）。我院将积极支持、配合你单位做好相关工作，共同推进××领域的治理工作。</w:t>
      </w:r>
    </w:p>
    <w:p w:rsidR="00FB2D39" w:rsidRPr="00BE5513" w:rsidRDefault="00FB2D39" w:rsidP="00BE5513">
      <w:pPr>
        <w:spacing w:line="240" w:lineRule="exact"/>
        <w:ind w:firstLineChars="200" w:firstLine="432"/>
        <w:rPr>
          <w:rFonts w:ascii="微软雅黑" w:eastAsia="微软雅黑" w:hAnsi="微软雅黑" w:cs="宋体"/>
          <w:sz w:val="22"/>
          <w:szCs w:val="22"/>
        </w:rPr>
      </w:pP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附件：（按顺序列明相关裁判文书、调研报告或者其他相关材料）</w:t>
      </w:r>
    </w:p>
    <w:p w:rsidR="00FB2D39" w:rsidRPr="00BE5513" w:rsidRDefault="009324DF" w:rsidP="00BE5513">
      <w:pPr>
        <w:spacing w:line="240" w:lineRule="exact"/>
        <w:ind w:left="5880" w:rightChars="200" w:right="632" w:firstLine="420"/>
        <w:jc w:val="center"/>
        <w:rPr>
          <w:rFonts w:ascii="微软雅黑" w:eastAsia="微软雅黑" w:hAnsi="微软雅黑"/>
          <w:sz w:val="22"/>
          <w:szCs w:val="22"/>
        </w:rPr>
      </w:pPr>
      <w:r w:rsidRPr="00BE5513">
        <w:rPr>
          <w:rFonts w:ascii="微软雅黑" w:eastAsia="微软雅黑" w:hAnsi="微软雅黑"/>
          <w:sz w:val="22"/>
          <w:szCs w:val="22"/>
        </w:rPr>
        <w:t>（院印）</w:t>
      </w:r>
    </w:p>
    <w:p w:rsidR="00FB2D39" w:rsidRPr="00BE5513" w:rsidRDefault="009324DF" w:rsidP="00A72021">
      <w:pPr>
        <w:spacing w:line="240" w:lineRule="exact"/>
        <w:ind w:left="5880" w:rightChars="200" w:right="632" w:firstLineChars="800" w:firstLine="1727"/>
        <w:rPr>
          <w:rFonts w:ascii="微软雅黑" w:eastAsia="微软雅黑" w:hAnsi="微软雅黑"/>
          <w:sz w:val="22"/>
          <w:szCs w:val="22"/>
        </w:rPr>
      </w:pPr>
      <w:r w:rsidRPr="00BE5513">
        <w:rPr>
          <w:rFonts w:ascii="微软雅黑" w:eastAsia="微软雅黑" w:hAnsi="微软雅黑"/>
          <w:sz w:val="22"/>
          <w:szCs w:val="22"/>
        </w:rPr>
        <w:t>××人民法院</w:t>
      </w:r>
    </w:p>
    <w:p w:rsidR="00FB2D39" w:rsidRPr="00BE5513" w:rsidRDefault="009324DF" w:rsidP="00BE5513">
      <w:pPr>
        <w:spacing w:line="240" w:lineRule="exact"/>
        <w:ind w:rightChars="200" w:right="632"/>
        <w:jc w:val="right"/>
        <w:rPr>
          <w:rFonts w:ascii="微软雅黑" w:eastAsia="微软雅黑" w:hAnsi="微软雅黑"/>
          <w:sz w:val="22"/>
          <w:szCs w:val="22"/>
        </w:rPr>
      </w:pPr>
      <w:r w:rsidRPr="00BE5513">
        <w:rPr>
          <w:rFonts w:ascii="微软雅黑" w:eastAsia="微软雅黑" w:hAnsi="微软雅黑"/>
          <w:sz w:val="22"/>
          <w:szCs w:val="22"/>
        </w:rPr>
        <w:t>年　　月　　日</w:t>
      </w:r>
    </w:p>
    <w:p w:rsidR="00FB2D39" w:rsidRPr="00BE5513" w:rsidRDefault="009324DF" w:rsidP="00BE5513">
      <w:pPr>
        <w:spacing w:line="240" w:lineRule="exact"/>
        <w:ind w:firstLineChars="200" w:firstLine="432"/>
        <w:rPr>
          <w:rFonts w:ascii="微软雅黑" w:eastAsia="微软雅黑" w:hAnsi="微软雅黑"/>
          <w:sz w:val="22"/>
          <w:szCs w:val="22"/>
        </w:rPr>
      </w:pPr>
      <w:r w:rsidRPr="00BE5513">
        <w:rPr>
          <w:rFonts w:ascii="微软雅黑" w:eastAsia="微软雅黑" w:hAnsi="微软雅黑"/>
          <w:sz w:val="22"/>
          <w:szCs w:val="22"/>
        </w:rPr>
        <w:t>联系人：×××　　××××　（联系电话）</w:t>
      </w:r>
    </w:p>
    <w:p w:rsidR="00FB2D39" w:rsidRPr="00BE5513" w:rsidRDefault="009324DF" w:rsidP="00A72021">
      <w:pPr>
        <w:spacing w:line="240" w:lineRule="exact"/>
        <w:ind w:firstLineChars="200" w:firstLine="432"/>
        <w:rPr>
          <w:rFonts w:ascii="微软雅黑" w:eastAsia="微软雅黑" w:hAnsi="微软雅黑" w:hint="eastAsia"/>
          <w:sz w:val="22"/>
          <w:szCs w:val="22"/>
        </w:rPr>
      </w:pPr>
      <w:r w:rsidRPr="00BE5513">
        <w:rPr>
          <w:rFonts w:ascii="微软雅黑" w:eastAsia="微软雅黑" w:hAnsi="微软雅黑"/>
          <w:sz w:val="22"/>
          <w:szCs w:val="22"/>
        </w:rPr>
        <w:t>抄送：××××。（抄送单位名称，如抄送单位较多，名称需要回行，回行时与冒号后的首字对齐，并在最后一个抄送单位</w:t>
      </w:r>
      <w:proofErr w:type="gramStart"/>
      <w:r w:rsidRPr="00BE5513">
        <w:rPr>
          <w:rFonts w:ascii="微软雅黑" w:eastAsia="微软雅黑" w:hAnsi="微软雅黑"/>
          <w:sz w:val="22"/>
          <w:szCs w:val="22"/>
        </w:rPr>
        <w:t>名称后标句号</w:t>
      </w:r>
      <w:proofErr w:type="gramEnd"/>
      <w:r w:rsidRPr="00BE5513">
        <w:rPr>
          <w:rFonts w:ascii="微软雅黑" w:eastAsia="微软雅黑" w:hAnsi="微软雅黑"/>
          <w:sz w:val="22"/>
          <w:szCs w:val="22"/>
        </w:rPr>
        <w:t>）</w:t>
      </w:r>
    </w:p>
    <w:p w:rsidR="00FB2D39" w:rsidRPr="00BE5513" w:rsidRDefault="00FB2D39" w:rsidP="00BE5513">
      <w:pPr>
        <w:spacing w:line="240" w:lineRule="exact"/>
        <w:rPr>
          <w:rFonts w:ascii="微软雅黑" w:eastAsia="微软雅黑" w:hAnsi="微软雅黑"/>
          <w:sz w:val="22"/>
          <w:szCs w:val="22"/>
        </w:rPr>
      </w:pPr>
    </w:p>
    <w:p w:rsidR="00FB2D39" w:rsidRPr="00BE5513" w:rsidRDefault="009324DF" w:rsidP="00BE5513">
      <w:pPr>
        <w:spacing w:line="240" w:lineRule="exact"/>
        <w:rPr>
          <w:rFonts w:ascii="微软雅黑" w:eastAsia="微软雅黑" w:hAnsi="微软雅黑" w:cs="黑体"/>
          <w:sz w:val="22"/>
          <w:szCs w:val="22"/>
        </w:rPr>
      </w:pPr>
      <w:r w:rsidRPr="00BE5513">
        <w:rPr>
          <w:rFonts w:ascii="微软雅黑" w:eastAsia="微软雅黑" w:hAnsi="微软雅黑" w:cs="黑体" w:hint="eastAsia"/>
          <w:sz w:val="22"/>
          <w:szCs w:val="22"/>
        </w:rPr>
        <w:t>附件</w:t>
      </w:r>
      <w:r w:rsidRPr="00BE5513">
        <w:rPr>
          <w:rFonts w:ascii="微软雅黑" w:eastAsia="微软雅黑" w:hAnsi="微软雅黑"/>
          <w:sz w:val="22"/>
          <w:szCs w:val="22"/>
        </w:rPr>
        <w:t>3</w:t>
      </w:r>
    </w:p>
    <w:p w:rsidR="00FB2D39" w:rsidRPr="00BE5513" w:rsidRDefault="009324DF" w:rsidP="00BE5513">
      <w:pPr>
        <w:spacing w:line="240" w:lineRule="exact"/>
        <w:rPr>
          <w:rFonts w:ascii="微软雅黑" w:eastAsia="微软雅黑" w:hAnsi="微软雅黑" w:cs="黑体"/>
          <w:sz w:val="22"/>
          <w:szCs w:val="22"/>
        </w:rPr>
      </w:pPr>
      <w:r w:rsidRPr="00BE5513">
        <w:rPr>
          <w:rFonts w:ascii="微软雅黑" w:eastAsia="微软雅黑" w:hAnsi="微软雅黑" w:cs="黑体" w:hint="eastAsia"/>
          <w:sz w:val="22"/>
          <w:szCs w:val="22"/>
        </w:rPr>
        <w:t>封面样式</w:t>
      </w:r>
    </w:p>
    <w:p w:rsidR="00FB2D39" w:rsidRDefault="009324DF">
      <w:pPr>
        <w:widowControl/>
        <w:jc w:val="center"/>
        <w:rPr>
          <w:rFonts w:ascii="微软雅黑" w:eastAsia="微软雅黑" w:hAnsi="微软雅黑" w:cs="微软雅黑"/>
          <w:color w:val="333333"/>
          <w:sz w:val="24"/>
        </w:rPr>
      </w:pPr>
      <w:r>
        <w:rPr>
          <w:rFonts w:ascii="微软雅黑" w:eastAsia="微软雅黑" w:hAnsi="微软雅黑" w:cs="微软雅黑" w:hint="eastAsia"/>
          <w:noProof/>
          <w:color w:val="333333"/>
          <w:kern w:val="0"/>
          <w:sz w:val="24"/>
          <w:shd w:val="clear" w:color="auto" w:fill="FFFFFF"/>
          <w:lang w:bidi="ar"/>
        </w:rPr>
        <w:drawing>
          <wp:inline distT="0" distB="0" distL="114300" distR="114300">
            <wp:extent cx="3742622" cy="2000250"/>
            <wp:effectExtent l="0" t="0" r="0" b="0"/>
            <wp:docPr id="1" name="图片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png"/>
                    <pic:cNvPicPr>
                      <a:picLocks noChangeAspect="1"/>
                    </pic:cNvPicPr>
                  </pic:nvPicPr>
                  <pic:blipFill>
                    <a:blip r:embed="rId6"/>
                    <a:stretch>
                      <a:fillRect/>
                    </a:stretch>
                  </pic:blipFill>
                  <pic:spPr>
                    <a:xfrm>
                      <a:off x="0" y="0"/>
                      <a:ext cx="3779552" cy="2019987"/>
                    </a:xfrm>
                    <a:prstGeom prst="rect">
                      <a:avLst/>
                    </a:prstGeom>
                    <a:noFill/>
                    <a:ln w="9525">
                      <a:noFill/>
                    </a:ln>
                  </pic:spPr>
                </pic:pic>
              </a:graphicData>
            </a:graphic>
          </wp:inline>
        </w:drawing>
      </w:r>
    </w:p>
    <w:sectPr w:rsidR="00FB2D39" w:rsidSect="00BE5513">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E57" w:rsidRDefault="00804E57">
      <w:r>
        <w:separator/>
      </w:r>
    </w:p>
  </w:endnote>
  <w:endnote w:type="continuationSeparator" w:id="0">
    <w:p w:rsidR="00804E57" w:rsidRDefault="0080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D39" w:rsidRDefault="009324DF">
    <w:pPr>
      <w:pStyle w:val="a4"/>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D39" w:rsidRDefault="009324DF">
    <w:pPr>
      <w:pStyle w:val="a4"/>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E57" w:rsidRDefault="00804E57">
      <w:r>
        <w:separator/>
      </w:r>
    </w:p>
  </w:footnote>
  <w:footnote w:type="continuationSeparator" w:id="0">
    <w:p w:rsidR="00804E57" w:rsidRDefault="00804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04E57"/>
    <w:rsid w:val="0082159D"/>
    <w:rsid w:val="00834B22"/>
    <w:rsid w:val="008351B6"/>
    <w:rsid w:val="008503CF"/>
    <w:rsid w:val="00867A37"/>
    <w:rsid w:val="008A10A6"/>
    <w:rsid w:val="008D32FC"/>
    <w:rsid w:val="009324DF"/>
    <w:rsid w:val="00937399"/>
    <w:rsid w:val="009D4E62"/>
    <w:rsid w:val="00A07177"/>
    <w:rsid w:val="00A72021"/>
    <w:rsid w:val="00A87604"/>
    <w:rsid w:val="00AE3FEB"/>
    <w:rsid w:val="00B12059"/>
    <w:rsid w:val="00B32293"/>
    <w:rsid w:val="00B718F5"/>
    <w:rsid w:val="00B90B92"/>
    <w:rsid w:val="00BB0938"/>
    <w:rsid w:val="00BB259A"/>
    <w:rsid w:val="00BC1DEF"/>
    <w:rsid w:val="00BC4088"/>
    <w:rsid w:val="00BE5513"/>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B2D39"/>
    <w:rsid w:val="00FD0030"/>
    <w:rsid w:val="05EE09DC"/>
    <w:rsid w:val="07BB0D61"/>
    <w:rsid w:val="09302D02"/>
    <w:rsid w:val="0A4370C6"/>
    <w:rsid w:val="0D9804AC"/>
    <w:rsid w:val="11E4354D"/>
    <w:rsid w:val="120D52C6"/>
    <w:rsid w:val="16DC7373"/>
    <w:rsid w:val="1AB2767B"/>
    <w:rsid w:val="1EA755CD"/>
    <w:rsid w:val="26A9214B"/>
    <w:rsid w:val="29761952"/>
    <w:rsid w:val="330C7FF6"/>
    <w:rsid w:val="344634A2"/>
    <w:rsid w:val="38876F44"/>
    <w:rsid w:val="3DE63740"/>
    <w:rsid w:val="481351D2"/>
    <w:rsid w:val="49F8000B"/>
    <w:rsid w:val="4E0D3DF8"/>
    <w:rsid w:val="4F6C5013"/>
    <w:rsid w:val="53543565"/>
    <w:rsid w:val="558A062C"/>
    <w:rsid w:val="592327F2"/>
    <w:rsid w:val="5DC15346"/>
    <w:rsid w:val="622F12CF"/>
    <w:rsid w:val="636942C1"/>
    <w:rsid w:val="638031CB"/>
    <w:rsid w:val="653E08AD"/>
    <w:rsid w:val="68C31A82"/>
    <w:rsid w:val="6CED5810"/>
    <w:rsid w:val="6FDE3B3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DF9AA"/>
  <w15:docId w15:val="{F2F13F39-47F1-4BAE-A129-E9B40DC1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hAnsi="Courier New" w:cs="Courier New"/>
      <w:szCs w:val="21"/>
    </w:r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autoRedefine/>
    <w:uiPriority w:val="99"/>
    <w:unhideWhenUsed/>
    <w:qFormat/>
    <w:rPr>
      <w:color w:val="954F72"/>
      <w:u w:val="single"/>
    </w:rPr>
  </w:style>
  <w:style w:type="character" w:styleId="a9">
    <w:name w:val="Hyperlink"/>
    <w:autoRedefine/>
    <w:uiPriority w:val="99"/>
    <w:qFormat/>
    <w:rPr>
      <w:rFonts w:ascii="ˎ̥" w:hAnsi="ˎ̥" w:hint="default"/>
      <w:color w:val="0404B3"/>
      <w:sz w:val="18"/>
      <w:szCs w:val="18"/>
      <w:u w:val="none"/>
    </w:rPr>
  </w:style>
  <w:style w:type="character" w:customStyle="1" w:styleId="a5">
    <w:name w:val="页脚 字符"/>
    <w:link w:val="a4"/>
    <w:autoRedefine/>
    <w:uiPriority w:val="99"/>
    <w:qFormat/>
    <w:rPr>
      <w:sz w:val="18"/>
      <w:szCs w:val="18"/>
    </w:rPr>
  </w:style>
  <w:style w:type="character" w:customStyle="1" w:styleId="a7">
    <w:name w:val="页眉 字符"/>
    <w:link w:val="a6"/>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2025-08-25T09:26:00Z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5958A2C819FF475584DD0359359300F8_13</vt:lpwstr>
  </property>
  <property fmtid="{D5CDD505-2E9C-101B-9397-08002B2CF9AE}" pid="3" name="KSOProductBuildVer">
    <vt:lpwstr>2052-12.1.0.16417</vt:lpwstr>
  </property>
</Properties>
</file>